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Hejwowski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maciekhejwowski@gmail.com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+48502056346 ,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Aniela Hejwowska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Maks</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29.05.2018</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Zenon Hejwowski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21.07.2018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Laura Gąsiorowska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18.07.2016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