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6.12.2025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Elizaveta  Kolesnik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Elizaveta  Kolesnik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liza.wheelwright@gmail.com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+359877023546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6.12.2025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