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Lindner-Górczak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kinga.lindner@gmail.com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+48698625827 ,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Górczak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