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Nicky Deighton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Zeke Deighton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26/05/2018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05/12/2025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