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Krakowiak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barszcz-nikola@wp.pl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+48577207533 ,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Barszcz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Nikola Barszcz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26.07.2010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Wiśniewska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27.08.2010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