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Радослав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Раяновски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rayanovski@gmail.com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+359886090864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8.3.1984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Радослав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30.1.2022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Явор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13.1.2014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Лазар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23.2.2009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