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LaRue</w:t>
      </w:r>
      <w:r>
        <w:t xml:space="preserve">      </w:t>
      </w:r>
      <w:r>
        <w:rPr>
          <w:rFonts w:hint="eastAsia"/>
        </w:rPr>
        <w:t>Moes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12/09/2004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+13614028883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l.moes2004@yahoo.com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