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+393494398903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+393494398903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sebastiano.23@libero.it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sebastiano.23@libero.it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15/05/1998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15/05/1998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Sebastiano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Cogo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Sebastiano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Cogo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Puccini, 44, Vicenza, VI, Italia Vicenza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Puccini, 44, Vicenza, VI, Italia Vicenza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