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Galant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galant.poland@gmail.com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+48884714714 ,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Milena Rogala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Rogala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Stanislaw Rogala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14.08.2020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