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Цветелина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Генчева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17.6.1988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+359877212130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vit2009@abv.bg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Калина Генчева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9.2.2017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