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Димитър Петков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21.12.1975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+359894726653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antonia_ioveva@abv.bg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Татяна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5.7.2013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