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Dynaryńska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ewadyn@gmail.com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+48663359705 ,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Dynaryńska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18.03.2016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Matylda Braunak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18.08.2016</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Julia Mastalerz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14.05.2016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Nela Krajewska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27.12.2016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