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Constança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Correia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10/06/1986</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+351917126599</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constanca.correia@gmail.com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Miguel Costa                                           data de nascimento: 09/11/2019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21/06/2026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